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C535CB">
            <w:rPr>
              <w:rStyle w:val="Style1"/>
            </w:rPr>
            <w:t>0565</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C535CB" w:rsidRPr="00C535CB">
            <w:rPr>
              <w:rStyle w:val="Style1"/>
            </w:rPr>
            <w:t>Cataracts: 20/40 or Better Visual Acuity within 90 Days Following Cataract Surgery</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27T00:00:00Z">
            <w:dateFormat w:val="M/d/yyyy"/>
            <w:lid w:val="en-US"/>
            <w:storeMappedDataAs w:val="dateTime"/>
            <w:calendar w:val="gregorian"/>
          </w:date>
        </w:sdtPr>
        <w:sdtEndPr>
          <w:rPr>
            <w:rStyle w:val="DefaultParagraphFont"/>
            <w:noProof/>
            <w:color w:val="auto"/>
            <w:u w:val="none"/>
          </w:rPr>
        </w:sdtEndPr>
        <w:sdtContent>
          <w:r w:rsidR="00C535CB">
            <w:rPr>
              <w:rStyle w:val="Style2"/>
            </w:rPr>
            <w:t>3/27/2015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9"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0" w:name="Note2"/>
            <w:bookmarkEnd w:id="0"/>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0"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1"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2"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537F80"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C535CB">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dtPr>
        <w:sdtEndPr>
          <w:rPr>
            <w:rStyle w:val="DefaultParagraphFont"/>
            <w:rFonts w:cstheme="minorBidi"/>
            <w:color w:val="auto"/>
            <w:u w:val="none"/>
          </w:rPr>
        </w:sdtEndPr>
        <w:sdtContent>
          <w:r w:rsidR="00C535CB">
            <w:rPr>
              <w:rStyle w:val="Style2"/>
              <w:rFonts w:cstheme="minorHAnsi"/>
            </w:rPr>
            <w:t>Improved visual acuity</w:t>
          </w:r>
        </w:sdtContent>
      </w:sdt>
    </w:p>
    <w:p w:rsidR="00236F87" w:rsidRPr="003B1CC5" w:rsidRDefault="00537F80"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537F80"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537F80"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537F80"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537F80"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Default="002B06BD" w:rsidP="002E2177">
      <w:pPr>
        <w:ind w:left="432" w:hanging="432"/>
        <w:rPr>
          <w:color w:val="0000FF"/>
        </w:rPr>
      </w:pPr>
    </w:p>
    <w:p w:rsidR="00C535CB" w:rsidRDefault="00C535CB" w:rsidP="002E2177">
      <w:pPr>
        <w:ind w:left="432" w:hanging="432"/>
        <w:rPr>
          <w:color w:val="0000FF"/>
        </w:rPr>
      </w:pPr>
      <w:r>
        <w:rPr>
          <w:noProof/>
          <w:color w:val="0000FF"/>
        </w:rPr>
        <w:drawing>
          <wp:inline distT="0" distB="0" distL="0" distR="0" wp14:anchorId="310F775D" wp14:editId="3962F411">
            <wp:extent cx="5505450" cy="1209675"/>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C535CB" w:rsidRPr="003B1CC5" w:rsidRDefault="00C535CB"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Default="00D14F0B" w:rsidP="002E2177">
      <w:pPr>
        <w:ind w:left="0" w:firstLine="0"/>
        <w:rPr>
          <w:iCs/>
        </w:rPr>
      </w:pPr>
    </w:p>
    <w:p w:rsidR="00C535CB" w:rsidRPr="00C535CB" w:rsidRDefault="00C535CB" w:rsidP="00C535CB">
      <w:pPr>
        <w:ind w:left="0" w:firstLine="0"/>
        <w:rPr>
          <w:iCs/>
        </w:rPr>
      </w:pPr>
      <w:r w:rsidRPr="00C535CB">
        <w:rPr>
          <w:iCs/>
        </w:rPr>
        <w:t xml:space="preserve">Most patients achieve excellent visual acuity after cataract surgery (20/40 or better). Failure to achieve this after surgery in eyes without comorbid ocular conditions that would impact the success of the surgery would reflect care that should be assessed for opportunities for improvement. </w:t>
      </w:r>
    </w:p>
    <w:p w:rsidR="00C535CB" w:rsidRPr="00C535CB" w:rsidRDefault="00C535CB" w:rsidP="00C535CB">
      <w:pPr>
        <w:ind w:left="0" w:firstLine="0"/>
        <w:rPr>
          <w:iCs/>
        </w:rPr>
      </w:pPr>
    </w:p>
    <w:p w:rsidR="00C535CB" w:rsidRPr="00C535CB" w:rsidRDefault="00C535CB" w:rsidP="00C535CB">
      <w:pPr>
        <w:ind w:left="0" w:firstLine="0"/>
        <w:rPr>
          <w:iCs/>
        </w:rPr>
      </w:pPr>
      <w:r w:rsidRPr="00C535CB">
        <w:rPr>
          <w:iCs/>
        </w:rPr>
        <w:t xml:space="preserve">Cataracts are progressive and without treatment, a patient will likely experience a decline in visual and physical function. The successful cataract surgery will improve a patient’s satisfaction, activities of daily living and overall visual and physical function. </w:t>
      </w:r>
    </w:p>
    <w:p w:rsidR="00C535CB" w:rsidRPr="00C535CB" w:rsidRDefault="00C535CB" w:rsidP="00C535CB">
      <w:pPr>
        <w:ind w:left="0" w:firstLine="0"/>
        <w:rPr>
          <w:iCs/>
        </w:rPr>
      </w:pPr>
    </w:p>
    <w:p w:rsidR="00C535CB" w:rsidRPr="00C535CB" w:rsidRDefault="00C535CB" w:rsidP="00C535CB">
      <w:pPr>
        <w:ind w:left="0" w:firstLine="0"/>
        <w:rPr>
          <w:iCs/>
        </w:rPr>
      </w:pPr>
      <w:r w:rsidRPr="00C535CB">
        <w:rPr>
          <w:iCs/>
        </w:rPr>
        <w:t xml:space="preserve">The Eye Care Measure Development Work Group opted to develop a measure of accountability addressing cataract surgery outcome that relates to the safety and appropriateness of cataract extraction. There are no guideline recommendations that specify this outcome; rather, the measure is based on improving patient functional and visual outcomes, satisfaction and quality of life.  </w:t>
      </w:r>
    </w:p>
    <w:p w:rsidR="00C535CB" w:rsidRPr="00C535CB" w:rsidRDefault="00C535CB" w:rsidP="00C535CB">
      <w:pPr>
        <w:ind w:left="0" w:firstLine="0"/>
        <w:rPr>
          <w:iCs/>
        </w:rPr>
      </w:pPr>
    </w:p>
    <w:p w:rsidR="00C535CB" w:rsidRPr="00C535CB" w:rsidRDefault="00C535CB" w:rsidP="00C535CB">
      <w:pPr>
        <w:ind w:left="0" w:firstLine="0"/>
        <w:rPr>
          <w:iCs/>
        </w:rPr>
      </w:pPr>
      <w:r w:rsidRPr="00C535CB">
        <w:rPr>
          <w:iCs/>
        </w:rPr>
        <w:t xml:space="preserve">The American Academy of </w:t>
      </w:r>
      <w:proofErr w:type="spellStart"/>
      <w:r w:rsidRPr="00C535CB">
        <w:rPr>
          <w:iCs/>
        </w:rPr>
        <w:t>Opthalmology’s</w:t>
      </w:r>
      <w:proofErr w:type="spellEnd"/>
      <w:r w:rsidRPr="00C535CB">
        <w:rPr>
          <w:iCs/>
        </w:rPr>
        <w:t xml:space="preserve"> Cataract in the Adult Eye Preferred Practice Pattern guidelines highlights important recommendations for care including: </w:t>
      </w:r>
    </w:p>
    <w:p w:rsidR="00C535CB" w:rsidRPr="00C535CB" w:rsidRDefault="00C535CB" w:rsidP="00C535CB">
      <w:pPr>
        <w:ind w:left="0" w:firstLine="0"/>
        <w:rPr>
          <w:iCs/>
        </w:rPr>
      </w:pPr>
    </w:p>
    <w:p w:rsidR="00C535CB" w:rsidRPr="00C535CB" w:rsidRDefault="00C535CB" w:rsidP="00C535CB">
      <w:pPr>
        <w:ind w:left="0" w:firstLine="0"/>
        <w:rPr>
          <w:iCs/>
        </w:rPr>
      </w:pPr>
      <w:r w:rsidRPr="00C535CB">
        <w:rPr>
          <w:iCs/>
        </w:rPr>
        <w:t>•</w:t>
      </w:r>
      <w:r w:rsidRPr="00C535CB">
        <w:rPr>
          <w:iCs/>
        </w:rPr>
        <w:tab/>
        <w:t>Cataract surgery should be recommended when indicated because of proven effectiveness in enhancing quality of life. (</w:t>
      </w:r>
      <w:proofErr w:type="gramStart"/>
      <w:r w:rsidRPr="00C535CB">
        <w:rPr>
          <w:iCs/>
        </w:rPr>
        <w:t>strong</w:t>
      </w:r>
      <w:proofErr w:type="gramEnd"/>
      <w:r w:rsidRPr="00C535CB">
        <w:rPr>
          <w:iCs/>
        </w:rPr>
        <w:t xml:space="preserve"> recommendation, moderate evidence)</w:t>
      </w:r>
    </w:p>
    <w:p w:rsidR="00C535CB" w:rsidRPr="00C535CB" w:rsidRDefault="00C535CB" w:rsidP="00C535CB">
      <w:pPr>
        <w:ind w:left="0" w:firstLine="0"/>
        <w:rPr>
          <w:iCs/>
        </w:rPr>
      </w:pPr>
    </w:p>
    <w:p w:rsidR="00C535CB" w:rsidRDefault="00C535CB" w:rsidP="00C535CB">
      <w:pPr>
        <w:ind w:left="0" w:firstLine="0"/>
        <w:rPr>
          <w:iCs/>
        </w:rPr>
      </w:pPr>
      <w:r w:rsidRPr="00C535CB">
        <w:rPr>
          <w:iCs/>
        </w:rPr>
        <w:lastRenderedPageBreak/>
        <w:t>Additionally, the American Optometric Association states that cataract extraction with IOL implant leads to improved vision in the majority of patients. It also leads to better ability to perform daily activities and improved quality of life and mental status.</w:t>
      </w:r>
    </w:p>
    <w:p w:rsidR="00C535CB" w:rsidRDefault="00C535CB" w:rsidP="00C535CB">
      <w:pPr>
        <w:ind w:left="0" w:firstLine="0"/>
        <w:rPr>
          <w:iCs/>
        </w:rPr>
      </w:pPr>
    </w:p>
    <w:p w:rsidR="00C535CB" w:rsidRPr="003B1CC5" w:rsidRDefault="00C535CB" w:rsidP="00C535CB">
      <w:pPr>
        <w:ind w:left="0" w:firstLine="0"/>
        <w:rPr>
          <w:iCs/>
        </w:rPr>
      </w:pPr>
      <w:bookmarkStart w:id="5" w:name="_GoBack"/>
      <w:bookmarkEnd w:id="5"/>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537F80"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537F80"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537F80"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537F80"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537F80"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537F80"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lastRenderedPageBreak/>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EE5AF6" w:rsidRPr="003B1CC5" w:rsidRDefault="00EE5AF6"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095EC9" w:rsidP="00EA79C9">
      <w:pPr>
        <w:ind w:left="0" w:firstLine="0"/>
      </w:pPr>
    </w:p>
    <w:p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Pr="003B1CC5" w:rsidRDefault="00496AF8" w:rsidP="002E2177">
      <w:pPr>
        <w:ind w:left="0" w:firstLine="0"/>
      </w:pPr>
    </w:p>
    <w:p w:rsidR="00496AF8" w:rsidRPr="003B1CC5" w:rsidRDefault="001B772D" w:rsidP="002E2177">
      <w:pPr>
        <w:ind w:left="432" w:hanging="432"/>
        <w:rPr>
          <w:iCs/>
        </w:rPr>
      </w:pPr>
      <w:r w:rsidRPr="003B1CC5">
        <w:rPr>
          <w:b/>
          <w:color w:val="0000FF"/>
        </w:rPr>
        <w:lastRenderedPageBreak/>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496AF8" w:rsidP="002E2177">
      <w:pPr>
        <w:ind w:left="0" w:firstLine="0"/>
      </w:pP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496AF8" w:rsidP="002E2177">
      <w:pPr>
        <w:ind w:left="0" w:firstLine="0"/>
      </w:pP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F80" w:rsidRDefault="00537F80" w:rsidP="007E37A5">
      <w:r>
        <w:separator/>
      </w:r>
    </w:p>
  </w:endnote>
  <w:endnote w:type="continuationSeparator" w:id="0">
    <w:p w:rsidR="00537F80" w:rsidRDefault="00537F8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535CB">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F80" w:rsidRDefault="00537F80" w:rsidP="007E37A5">
      <w:r>
        <w:separator/>
      </w:r>
    </w:p>
  </w:footnote>
  <w:footnote w:type="continuationSeparator" w:id="0">
    <w:p w:rsidR="00537F80" w:rsidRDefault="00537F8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37F8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2F96"/>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35CB"/>
    <w:rsid w:val="00C54E40"/>
    <w:rsid w:val="00C55F56"/>
    <w:rsid w:val="00C57BA4"/>
    <w:rsid w:val="00C613EB"/>
    <w:rsid w:val="00C84623"/>
    <w:rsid w:val="00CB06C9"/>
    <w:rsid w:val="00CB1E41"/>
    <w:rsid w:val="00CB22F6"/>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Data" Target="diagrams/data1.xml"/><Relationship Id="rId23" Type="http://schemas.openxmlformats.org/officeDocument/2006/relationships/glossaryDocument" Target="glossary/document.xml"/><Relationship Id="rId10" Type="http://schemas.openxmlformats.org/officeDocument/2006/relationships/hyperlink" Target="http://www.uspreventiveservicestaskforce.org/uspstf/grades.htm" TargetMode="External"/><Relationship Id="rId19" Type="http://schemas.microsoft.com/office/2007/relationships/diagramDrawing" Target="diagrams/drawing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31F89E-F622-44C1-95C8-DF0F3DE8D0FE}" type="doc">
      <dgm:prSet loTypeId="urn:microsoft.com/office/officeart/2005/8/layout/process1" loCatId="process" qsTypeId="urn:microsoft.com/office/officeart/2005/8/quickstyle/simple1" qsCatId="simple" csTypeId="urn:microsoft.com/office/officeart/2005/8/colors/accent1_2" csCatId="accent1" phldr="1"/>
      <dgm:spPr/>
    </dgm:pt>
    <dgm:pt modelId="{8E5082ED-9682-4A3A-9710-35DB02AF5165}">
      <dgm:prSet phldrT="[Text]" custT="1"/>
      <dgm:spPr>
        <a:xfrm>
          <a:off x="4838" y="150622"/>
          <a:ext cx="1446255" cy="90842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Selection of appropiate candidates for cataract surgery based on surgical indications </a:t>
          </a:r>
        </a:p>
      </dgm:t>
    </dgm:pt>
    <dgm:pt modelId="{B79620FD-28D7-4372-AC9E-CF98ED5EB677}" type="parTrans" cxnId="{EAF9F04C-74DD-4ECA-A2E4-951DFF2C48D8}">
      <dgm:prSet/>
      <dgm:spPr/>
      <dgm:t>
        <a:bodyPr/>
        <a:lstStyle/>
        <a:p>
          <a:endParaRPr lang="en-US"/>
        </a:p>
      </dgm:t>
    </dgm:pt>
    <dgm:pt modelId="{3953E8EF-81EC-42B0-AA07-DE4820AEDDFA}" type="sibTrans" cxnId="{EAF9F04C-74DD-4ECA-A2E4-951DFF2C48D8}">
      <dgm:prSet/>
      <dgm:spPr>
        <a:xfrm>
          <a:off x="1595720" y="425501"/>
          <a:ext cx="306606" cy="358671"/>
        </a:xfrm>
        <a:solidFill>
          <a:srgbClr val="4F81BD">
            <a:tint val="60000"/>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BD979C98-A8EC-4136-9D54-B3AA08E03A0C}">
      <dgm:prSet phldrT="[Text]" custT="1"/>
      <dgm:spPr>
        <a:xfrm>
          <a:off x="3949582" y="140875"/>
          <a:ext cx="1446255" cy="90842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Enhanced visual acuity, patient satisfaction, functional status and quality of life</a:t>
          </a:r>
        </a:p>
      </dgm:t>
    </dgm:pt>
    <dgm:pt modelId="{A5C79CBC-261E-4636-9587-766AC5AF7D75}" type="parTrans" cxnId="{E1F9A564-4AE3-4C72-9EED-CA4D139A4B30}">
      <dgm:prSet/>
      <dgm:spPr/>
      <dgm:t>
        <a:bodyPr/>
        <a:lstStyle/>
        <a:p>
          <a:endParaRPr lang="en-US"/>
        </a:p>
      </dgm:t>
    </dgm:pt>
    <dgm:pt modelId="{2D5F4CEB-7461-4E4C-9D25-EE328042008F}" type="sibTrans" cxnId="{E1F9A564-4AE3-4C72-9EED-CA4D139A4B30}">
      <dgm:prSet/>
      <dgm:spPr/>
      <dgm:t>
        <a:bodyPr/>
        <a:lstStyle/>
        <a:p>
          <a:endParaRPr lang="en-US"/>
        </a:p>
      </dgm:t>
    </dgm:pt>
    <dgm:pt modelId="{29DD895E-99A0-4F62-BD80-07C9311C91EE}">
      <dgm:prSet custT="1"/>
      <dgm:spPr>
        <a:xfrm>
          <a:off x="2029597" y="150622"/>
          <a:ext cx="1446255" cy="90842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Safe and appropriate cataract surgery to improve visual function</a:t>
          </a:r>
        </a:p>
      </dgm:t>
    </dgm:pt>
    <dgm:pt modelId="{03F189C0-AEC8-455F-AD39-1487B472145B}" type="parTrans" cxnId="{16210FB6-1B97-455E-96DF-EDE70F2EBD95}">
      <dgm:prSet/>
      <dgm:spPr/>
      <dgm:t>
        <a:bodyPr/>
        <a:lstStyle/>
        <a:p>
          <a:endParaRPr lang="en-US"/>
        </a:p>
      </dgm:t>
    </dgm:pt>
    <dgm:pt modelId="{2D75CA37-5403-467B-B288-5D3C9680EBF5}" type="sibTrans" cxnId="{16210FB6-1B97-455E-96DF-EDE70F2EBD95}">
      <dgm:prSet/>
      <dgm:spPr>
        <a:xfrm rot="21582547">
          <a:off x="3594283" y="420591"/>
          <a:ext cx="251080" cy="358671"/>
        </a:xfrm>
        <a:solidFill>
          <a:srgbClr val="4F81BD">
            <a:tint val="60000"/>
            <a:hueOff val="0"/>
            <a:satOff val="0"/>
            <a:lumOff val="0"/>
            <a:alphaOff val="0"/>
          </a:srgbClr>
        </a:solidFill>
        <a:ln>
          <a:noFill/>
        </a:ln>
        <a:effectLst/>
      </dgm:spPr>
      <dgm:t>
        <a:bodyPr/>
        <a:lstStyle/>
        <a:p>
          <a:endParaRPr lang="en-US">
            <a:solidFill>
              <a:sysClr val="window" lastClr="FFFFFF"/>
            </a:solidFill>
            <a:latin typeface="Calibri"/>
            <a:ea typeface="+mn-ea"/>
            <a:cs typeface="+mn-cs"/>
          </a:endParaRPr>
        </a:p>
      </dgm:t>
    </dgm:pt>
    <dgm:pt modelId="{96761ACA-9375-4D49-94EE-09F10F1B4432}" type="pres">
      <dgm:prSet presAssocID="{C431F89E-F622-44C1-95C8-DF0F3DE8D0FE}" presName="Name0" presStyleCnt="0">
        <dgm:presLayoutVars>
          <dgm:dir/>
          <dgm:resizeHandles val="exact"/>
        </dgm:presLayoutVars>
      </dgm:prSet>
      <dgm:spPr/>
    </dgm:pt>
    <dgm:pt modelId="{120B6B2B-B6D8-4FCB-B479-080C8E1006F1}" type="pres">
      <dgm:prSet presAssocID="{8E5082ED-9682-4A3A-9710-35DB02AF5165}" presName="node" presStyleLbl="node1" presStyleIdx="0" presStyleCnt="3">
        <dgm:presLayoutVars>
          <dgm:bulletEnabled val="1"/>
        </dgm:presLayoutVars>
      </dgm:prSet>
      <dgm:spPr>
        <a:prstGeom prst="roundRect">
          <a:avLst>
            <a:gd name="adj" fmla="val 10000"/>
          </a:avLst>
        </a:prstGeom>
      </dgm:spPr>
      <dgm:t>
        <a:bodyPr/>
        <a:lstStyle/>
        <a:p>
          <a:endParaRPr lang="en-US"/>
        </a:p>
      </dgm:t>
    </dgm:pt>
    <dgm:pt modelId="{C0D1DFAB-E77C-4BFA-A5FA-E369B0C78E0A}" type="pres">
      <dgm:prSet presAssocID="{3953E8EF-81EC-42B0-AA07-DE4820AEDDFA}" presName="sibTrans" presStyleLbl="sibTrans2D1" presStyleIdx="0" presStyleCnt="2"/>
      <dgm:spPr>
        <a:prstGeom prst="rightArrow">
          <a:avLst>
            <a:gd name="adj1" fmla="val 60000"/>
            <a:gd name="adj2" fmla="val 50000"/>
          </a:avLst>
        </a:prstGeom>
      </dgm:spPr>
      <dgm:t>
        <a:bodyPr/>
        <a:lstStyle/>
        <a:p>
          <a:endParaRPr lang="en-US"/>
        </a:p>
      </dgm:t>
    </dgm:pt>
    <dgm:pt modelId="{F2B1591D-95C2-4331-A3B1-A55619BD07B8}" type="pres">
      <dgm:prSet presAssocID="{3953E8EF-81EC-42B0-AA07-DE4820AEDDFA}" presName="connectorText" presStyleLbl="sibTrans2D1" presStyleIdx="0" presStyleCnt="2"/>
      <dgm:spPr/>
      <dgm:t>
        <a:bodyPr/>
        <a:lstStyle/>
        <a:p>
          <a:endParaRPr lang="en-US"/>
        </a:p>
      </dgm:t>
    </dgm:pt>
    <dgm:pt modelId="{9BB69553-D2AC-4EB3-A90A-A57BF1AA933C}" type="pres">
      <dgm:prSet presAssocID="{29DD895E-99A0-4F62-BD80-07C9311C91EE}" presName="node" presStyleLbl="node1" presStyleIdx="1" presStyleCnt="3">
        <dgm:presLayoutVars>
          <dgm:bulletEnabled val="1"/>
        </dgm:presLayoutVars>
      </dgm:prSet>
      <dgm:spPr>
        <a:prstGeom prst="roundRect">
          <a:avLst>
            <a:gd name="adj" fmla="val 10000"/>
          </a:avLst>
        </a:prstGeom>
      </dgm:spPr>
      <dgm:t>
        <a:bodyPr/>
        <a:lstStyle/>
        <a:p>
          <a:endParaRPr lang="en-US"/>
        </a:p>
      </dgm:t>
    </dgm:pt>
    <dgm:pt modelId="{C0137E05-F6B2-4931-AFE6-1690EF2D21E7}" type="pres">
      <dgm:prSet presAssocID="{2D75CA37-5403-467B-B288-5D3C9680EBF5}" presName="sibTrans" presStyleLbl="sibTrans2D1" presStyleIdx="1" presStyleCnt="2"/>
      <dgm:spPr>
        <a:prstGeom prst="rightArrow">
          <a:avLst>
            <a:gd name="adj1" fmla="val 60000"/>
            <a:gd name="adj2" fmla="val 50000"/>
          </a:avLst>
        </a:prstGeom>
      </dgm:spPr>
      <dgm:t>
        <a:bodyPr/>
        <a:lstStyle/>
        <a:p>
          <a:endParaRPr lang="en-US"/>
        </a:p>
      </dgm:t>
    </dgm:pt>
    <dgm:pt modelId="{37A0C7AA-BD1F-4689-92E4-9EB54A5FBDF4}" type="pres">
      <dgm:prSet presAssocID="{2D75CA37-5403-467B-B288-5D3C9680EBF5}" presName="connectorText" presStyleLbl="sibTrans2D1" presStyleIdx="1" presStyleCnt="2"/>
      <dgm:spPr/>
      <dgm:t>
        <a:bodyPr/>
        <a:lstStyle/>
        <a:p>
          <a:endParaRPr lang="en-US"/>
        </a:p>
      </dgm:t>
    </dgm:pt>
    <dgm:pt modelId="{701A344C-3A64-47DC-9F3E-5CC01A463D7B}" type="pres">
      <dgm:prSet presAssocID="{BD979C98-A8EC-4136-9D54-B3AA08E03A0C}" presName="node" presStyleLbl="node1" presStyleIdx="2" presStyleCnt="3" custLinFactNeighborX="-18111" custLinFactNeighborY="-1073">
        <dgm:presLayoutVars>
          <dgm:bulletEnabled val="1"/>
        </dgm:presLayoutVars>
      </dgm:prSet>
      <dgm:spPr>
        <a:prstGeom prst="roundRect">
          <a:avLst>
            <a:gd name="adj" fmla="val 10000"/>
          </a:avLst>
        </a:prstGeom>
      </dgm:spPr>
      <dgm:t>
        <a:bodyPr/>
        <a:lstStyle/>
        <a:p>
          <a:endParaRPr lang="en-US"/>
        </a:p>
      </dgm:t>
    </dgm:pt>
  </dgm:ptLst>
  <dgm:cxnLst>
    <dgm:cxn modelId="{EAF9F04C-74DD-4ECA-A2E4-951DFF2C48D8}" srcId="{C431F89E-F622-44C1-95C8-DF0F3DE8D0FE}" destId="{8E5082ED-9682-4A3A-9710-35DB02AF5165}" srcOrd="0" destOrd="0" parTransId="{B79620FD-28D7-4372-AC9E-CF98ED5EB677}" sibTransId="{3953E8EF-81EC-42B0-AA07-DE4820AEDDFA}"/>
    <dgm:cxn modelId="{AFFBF378-6659-4351-A238-7DEA3EB56B07}" type="presOf" srcId="{C431F89E-F622-44C1-95C8-DF0F3DE8D0FE}" destId="{96761ACA-9375-4D49-94EE-09F10F1B4432}" srcOrd="0" destOrd="0" presId="urn:microsoft.com/office/officeart/2005/8/layout/process1"/>
    <dgm:cxn modelId="{34E36F5E-83EB-4818-B764-31A193924391}" type="presOf" srcId="{BD979C98-A8EC-4136-9D54-B3AA08E03A0C}" destId="{701A344C-3A64-47DC-9F3E-5CC01A463D7B}" srcOrd="0" destOrd="0" presId="urn:microsoft.com/office/officeart/2005/8/layout/process1"/>
    <dgm:cxn modelId="{F7610445-8F33-458C-A915-0EE14EDA9251}" type="presOf" srcId="{3953E8EF-81EC-42B0-AA07-DE4820AEDDFA}" destId="{F2B1591D-95C2-4331-A3B1-A55619BD07B8}" srcOrd="1" destOrd="0" presId="urn:microsoft.com/office/officeart/2005/8/layout/process1"/>
    <dgm:cxn modelId="{16210FB6-1B97-455E-96DF-EDE70F2EBD95}" srcId="{C431F89E-F622-44C1-95C8-DF0F3DE8D0FE}" destId="{29DD895E-99A0-4F62-BD80-07C9311C91EE}" srcOrd="1" destOrd="0" parTransId="{03F189C0-AEC8-455F-AD39-1487B472145B}" sibTransId="{2D75CA37-5403-467B-B288-5D3C9680EBF5}"/>
    <dgm:cxn modelId="{D7D7F761-F94E-4CAC-B076-E4FB82E473D9}" type="presOf" srcId="{2D75CA37-5403-467B-B288-5D3C9680EBF5}" destId="{C0137E05-F6B2-4931-AFE6-1690EF2D21E7}" srcOrd="0" destOrd="0" presId="urn:microsoft.com/office/officeart/2005/8/layout/process1"/>
    <dgm:cxn modelId="{99170DA1-361F-4DBD-864B-233D7B0639FD}" type="presOf" srcId="{29DD895E-99A0-4F62-BD80-07C9311C91EE}" destId="{9BB69553-D2AC-4EB3-A90A-A57BF1AA933C}" srcOrd="0" destOrd="0" presId="urn:microsoft.com/office/officeart/2005/8/layout/process1"/>
    <dgm:cxn modelId="{0A9177F8-C415-4296-BFBD-5475B7224296}" type="presOf" srcId="{3953E8EF-81EC-42B0-AA07-DE4820AEDDFA}" destId="{C0D1DFAB-E77C-4BFA-A5FA-E369B0C78E0A}" srcOrd="0" destOrd="0" presId="urn:microsoft.com/office/officeart/2005/8/layout/process1"/>
    <dgm:cxn modelId="{E513E135-5E3B-48EE-9E5E-A8846840A533}" type="presOf" srcId="{2D75CA37-5403-467B-B288-5D3C9680EBF5}" destId="{37A0C7AA-BD1F-4689-92E4-9EB54A5FBDF4}" srcOrd="1" destOrd="0" presId="urn:microsoft.com/office/officeart/2005/8/layout/process1"/>
    <dgm:cxn modelId="{B41F6638-6795-4239-A49B-53851930C7EC}" type="presOf" srcId="{8E5082ED-9682-4A3A-9710-35DB02AF5165}" destId="{120B6B2B-B6D8-4FCB-B479-080C8E1006F1}" srcOrd="0" destOrd="0" presId="urn:microsoft.com/office/officeart/2005/8/layout/process1"/>
    <dgm:cxn modelId="{E1F9A564-4AE3-4C72-9EED-CA4D139A4B30}" srcId="{C431F89E-F622-44C1-95C8-DF0F3DE8D0FE}" destId="{BD979C98-A8EC-4136-9D54-B3AA08E03A0C}" srcOrd="2" destOrd="0" parTransId="{A5C79CBC-261E-4636-9587-766AC5AF7D75}" sibTransId="{2D5F4CEB-7461-4E4C-9D25-EE328042008F}"/>
    <dgm:cxn modelId="{24455036-FC9D-424A-8315-BCB3A729137D}" type="presParOf" srcId="{96761ACA-9375-4D49-94EE-09F10F1B4432}" destId="{120B6B2B-B6D8-4FCB-B479-080C8E1006F1}" srcOrd="0" destOrd="0" presId="urn:microsoft.com/office/officeart/2005/8/layout/process1"/>
    <dgm:cxn modelId="{CEB1548C-7FA7-4AAF-A2F5-893FFCBBA808}" type="presParOf" srcId="{96761ACA-9375-4D49-94EE-09F10F1B4432}" destId="{C0D1DFAB-E77C-4BFA-A5FA-E369B0C78E0A}" srcOrd="1" destOrd="0" presId="urn:microsoft.com/office/officeart/2005/8/layout/process1"/>
    <dgm:cxn modelId="{C13B311D-D32C-490D-9948-DF03B912517D}" type="presParOf" srcId="{C0D1DFAB-E77C-4BFA-A5FA-E369B0C78E0A}" destId="{F2B1591D-95C2-4331-A3B1-A55619BD07B8}" srcOrd="0" destOrd="0" presId="urn:microsoft.com/office/officeart/2005/8/layout/process1"/>
    <dgm:cxn modelId="{DD15DDF8-F9F5-4379-B82B-CC8465DAB014}" type="presParOf" srcId="{96761ACA-9375-4D49-94EE-09F10F1B4432}" destId="{9BB69553-D2AC-4EB3-A90A-A57BF1AA933C}" srcOrd="2" destOrd="0" presId="urn:microsoft.com/office/officeart/2005/8/layout/process1"/>
    <dgm:cxn modelId="{694BFE7E-9060-42B4-8AAA-3EFC6E5459D6}" type="presParOf" srcId="{96761ACA-9375-4D49-94EE-09F10F1B4432}" destId="{C0137E05-F6B2-4931-AFE6-1690EF2D21E7}" srcOrd="3" destOrd="0" presId="urn:microsoft.com/office/officeart/2005/8/layout/process1"/>
    <dgm:cxn modelId="{C134F690-3039-47CC-9802-02116B763B1F}" type="presParOf" srcId="{C0137E05-F6B2-4931-AFE6-1690EF2D21E7}" destId="{37A0C7AA-BD1F-4689-92E4-9EB54A5FBDF4}" srcOrd="0" destOrd="0" presId="urn:microsoft.com/office/officeart/2005/8/layout/process1"/>
    <dgm:cxn modelId="{1A939EB3-C8B3-450B-80F7-2C3D74DCD347}" type="presParOf" srcId="{96761ACA-9375-4D49-94EE-09F10F1B4432}" destId="{701A344C-3A64-47DC-9F3E-5CC01A463D7B}" srcOrd="4"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0B6B2B-B6D8-4FCB-B479-080C8E1006F1}">
      <dsp:nvSpPr>
        <dsp:cNvPr id="0" name=""/>
        <dsp:cNvSpPr/>
      </dsp:nvSpPr>
      <dsp:spPr>
        <a:xfrm>
          <a:off x="4838" y="150622"/>
          <a:ext cx="1446255" cy="9084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Selection of appropiate candidates for cataract surgery based on surgical indications </a:t>
          </a:r>
        </a:p>
      </dsp:txBody>
      <dsp:txXfrm>
        <a:off x="31445" y="177229"/>
        <a:ext cx="1393041" cy="855215"/>
      </dsp:txXfrm>
    </dsp:sp>
    <dsp:sp modelId="{C0D1DFAB-E77C-4BFA-A5FA-E369B0C78E0A}">
      <dsp:nvSpPr>
        <dsp:cNvPr id="0" name=""/>
        <dsp:cNvSpPr/>
      </dsp:nvSpPr>
      <dsp:spPr>
        <a:xfrm>
          <a:off x="1595720" y="425501"/>
          <a:ext cx="306606" cy="35867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US" sz="1500" kern="1200">
            <a:solidFill>
              <a:sysClr val="window" lastClr="FFFFFF"/>
            </a:solidFill>
            <a:latin typeface="Calibri"/>
            <a:ea typeface="+mn-ea"/>
            <a:cs typeface="+mn-cs"/>
          </a:endParaRPr>
        </a:p>
      </dsp:txBody>
      <dsp:txXfrm>
        <a:off x="1595720" y="497235"/>
        <a:ext cx="214624" cy="215203"/>
      </dsp:txXfrm>
    </dsp:sp>
    <dsp:sp modelId="{9BB69553-D2AC-4EB3-A90A-A57BF1AA933C}">
      <dsp:nvSpPr>
        <dsp:cNvPr id="0" name=""/>
        <dsp:cNvSpPr/>
      </dsp:nvSpPr>
      <dsp:spPr>
        <a:xfrm>
          <a:off x="2029597" y="150622"/>
          <a:ext cx="1446255" cy="9084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Safe and appropriate cataract surgery to improve visual function</a:t>
          </a:r>
        </a:p>
      </dsp:txBody>
      <dsp:txXfrm>
        <a:off x="2056204" y="177229"/>
        <a:ext cx="1393041" cy="855215"/>
      </dsp:txXfrm>
    </dsp:sp>
    <dsp:sp modelId="{C0137E05-F6B2-4931-AFE6-1690EF2D21E7}">
      <dsp:nvSpPr>
        <dsp:cNvPr id="0" name=""/>
        <dsp:cNvSpPr/>
      </dsp:nvSpPr>
      <dsp:spPr>
        <a:xfrm rot="21582547">
          <a:off x="3594283" y="420591"/>
          <a:ext cx="251080" cy="358671"/>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US" sz="1500" kern="1200">
            <a:solidFill>
              <a:sysClr val="window" lastClr="FFFFFF"/>
            </a:solidFill>
            <a:latin typeface="Calibri"/>
            <a:ea typeface="+mn-ea"/>
            <a:cs typeface="+mn-cs"/>
          </a:endParaRPr>
        </a:p>
      </dsp:txBody>
      <dsp:txXfrm>
        <a:off x="3594283" y="492516"/>
        <a:ext cx="175756" cy="215203"/>
      </dsp:txXfrm>
    </dsp:sp>
    <dsp:sp modelId="{701A344C-3A64-47DC-9F3E-5CC01A463D7B}">
      <dsp:nvSpPr>
        <dsp:cNvPr id="0" name=""/>
        <dsp:cNvSpPr/>
      </dsp:nvSpPr>
      <dsp:spPr>
        <a:xfrm>
          <a:off x="3949582" y="140875"/>
          <a:ext cx="1446255" cy="90842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Enhanced visual acuity, patient satisfaction, functional status and quality of life</a:t>
          </a:r>
        </a:p>
      </dsp:txBody>
      <dsp:txXfrm>
        <a:off x="3976189" y="167482"/>
        <a:ext cx="1393041" cy="855215"/>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B5289E"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9205AF"/>
    <w:rsid w:val="00B5289E"/>
    <w:rsid w:val="00BE0F2D"/>
    <w:rsid w:val="00C03643"/>
    <w:rsid w:val="00C2797F"/>
    <w:rsid w:val="00C80225"/>
    <w:rsid w:val="00D228C9"/>
    <w:rsid w:val="00DB5324"/>
    <w:rsid w:val="00DC5529"/>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1061A-FE01-4A97-9EF8-8C751AAF9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Chavarria</cp:lastModifiedBy>
  <cp:revision>2</cp:revision>
  <dcterms:created xsi:type="dcterms:W3CDTF">2015-03-27T21:27:00Z</dcterms:created>
  <dcterms:modified xsi:type="dcterms:W3CDTF">2015-03-27T21:27:00Z</dcterms:modified>
</cp:coreProperties>
</file>